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ook w:firstColumn="1" w:firstRow="1" w:lastColumn="0" w:lastRow="0" w:noHBand="0" w:noVBand="1" w:val="04A0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080"/>
      </w:tblGrid>
      <w:tr>
        <w:tc>
          <w:tcPr>
            <w:tcW w:type="dxa" w:w="10080"/>
            <w:shd w:val="clear" w:color="auto" w:fill="1B4332"/>
          </w:tcPr>
          <w:p>
            <w:pPr>
              <w:spacing w:before="0" w:after="0" w:line="60" w:lineRule="exact"/>
            </w:pPr>
          </w:p>
        </w:tc>
      </w:tr>
    </w:tbl>
    <w:p>
      <w:pPr>
        <w:spacing w:before="120" w:after="40"/>
      </w:pPr>
      <w:r>
        <w:rPr>
          <w:rFonts w:ascii="Calibri" w:hAnsi="Calibri"/>
          <w:b/>
          <w:i w:val="0"/>
          <w:color w:val="6B7280"/>
          <w:sz w:val="16"/>
        </w:rPr>
        <w:t>PERSONAL FINANCE · UNIT 1 · ECONOMICS &amp; THE CONSUMER · LESSON 1.1</w:t>
      </w:r>
    </w:p>
    <w:p>
      <w:pPr>
        <w:spacing w:after="40"/>
      </w:pPr>
      <w:r>
        <w:rPr>
          <w:rFonts w:ascii="Calibri" w:hAnsi="Calibri"/>
          <w:b/>
          <w:i w:val="0"/>
          <w:color w:val="2B2B35"/>
          <w:sz w:val="32"/>
        </w:rPr>
        <w:t>Application Worksheet: You, Your Family &amp; the Economy</w:t>
      </w:r>
    </w:p>
    <w:p>
      <w:pPr>
        <w:spacing w:after="80"/>
      </w:pPr>
      <w:r>
        <w:rPr>
          <w:rFonts w:ascii="Calibri" w:hAnsi="Calibri"/>
          <w:b w:val="0"/>
          <w:i w:val="0"/>
          <w:color w:val="6B7280"/>
          <w:sz w:val="22"/>
        </w:rPr>
        <w:t>Name: __________________________    Period: ______    Date: __________</w:t>
      </w:r>
    </w:p>
    <w:p>
      <w:pPr>
        <w:spacing w:after="160"/>
      </w:pPr>
      <w:r>
        <w:rPr>
          <w:rFonts w:ascii="Calibri" w:hAnsi="Calibri"/>
          <w:b/>
          <w:i w:val="0"/>
          <w:color w:val="1B4332"/>
          <w:sz w:val="18"/>
        </w:rPr>
        <w:t>Apply what you learned. Use complete sentences.</w:t>
      </w:r>
    </w:p>
    <w:p>
      <w:pPr>
        <w:pBdr>
          <w:bottom w:val="single" w:sz="6" w:space="1" w:color="E5E7EB"/>
        </w:pBdr>
        <w:spacing w:after="120"/>
      </w:pPr>
    </w:p>
    <w:p>
      <w:pPr>
        <w:spacing w:before="240" w:after="80"/>
      </w:pPr>
      <w:r>
        <w:rPr>
          <w:rFonts w:ascii="Calibri" w:hAnsi="Calibri"/>
          <w:b/>
          <w:i w:val="0"/>
          <w:color w:val="1B4332"/>
          <w:sz w:val="28"/>
        </w:rPr>
        <w:t>Part A - Follow the Money</w:t>
      </w:r>
    </w:p>
    <w:p>
      <w:pPr>
        <w:spacing w:after="120"/>
      </w:pPr>
      <w:r>
        <w:rPr>
          <w:rFonts w:ascii="Calibri" w:hAnsi="Calibri"/>
          <w:b w:val="0"/>
          <w:i w:val="0"/>
          <w:color w:val="2B2B35"/>
          <w:sz w:val="22"/>
        </w:rPr>
        <w:t>Put the circular-flow steps in order (1-4) to show how money moves between households and businesses.</w:t>
      </w:r>
    </w:p>
    <w:tbl>
      <w:tblPr>
        <w:tblW w:type="auto" w:w="0"/>
        <w:tblLook w:firstColumn="1" w:firstRow="1" w:lastColumn="0" w:lastRow="0" w:noHBand="0" w:noVBand="1" w:val="04A0"/>
        <w:jc w:val="center"/>
        <w:tblBorders>
          <w:top w:val="single" w:sz="4" w:space="0" w:color="E5E7EB"/>
          <w:left w:val="single" w:sz="4" w:space="0" w:color="E5E7EB"/>
          <w:bottom w:val="single" w:sz="4" w:space="0" w:color="E5E7EB"/>
          <w:right w:val="single" w:sz="4" w:space="0" w:color="E5E7EB"/>
          <w:insideH w:val="single" w:sz="4" w:space="0" w:color="E5E7EB"/>
          <w:insideV w:val="single" w:sz="4" w:space="0" w:color="E5E7EB"/>
        </w:tblBorders>
      </w:tblPr>
      <w:tblGrid>
        <w:gridCol w:w="3360"/>
        <w:gridCol w:w="3360"/>
        <w:gridCol w:w="3360"/>
      </w:tblGrid>
      <w:tr>
        <w:tc>
          <w:tcPr>
            <w:tcW w:type="dxa" w:w="4608"/>
            <w:shd w:val="clear" w:color="auto" w:fill="1B4332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20"/>
              </w:rPr>
              <w:t>Step</w:t>
            </w:r>
          </w:p>
        </w:tc>
        <w:tc>
          <w:tcPr>
            <w:tcW w:type="dxa" w:w="1440"/>
            <w:shd w:val="clear" w:color="auto" w:fill="1B4332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20"/>
              </w:rPr>
              <w:t>Order (1-4)</w:t>
            </w:r>
          </w:p>
        </w:tc>
        <w:tc>
          <w:tcPr>
            <w:tcW w:type="dxa" w:w="3168"/>
            <w:shd w:val="clear" w:color="auto" w:fill="1B4332"/>
          </w:tcPr>
          <w:p>
            <w:r/>
            <w:r>
              <w:rPr>
                <w:rFonts w:ascii="Calibri" w:hAnsi="Calibri"/>
                <w:b/>
                <w:i w:val="0"/>
                <w:color w:val="FFFFFF"/>
                <w:sz w:val="20"/>
              </w:rPr>
              <w:t>Who does it?</w:t>
            </w:r>
          </w:p>
        </w:tc>
      </w:tr>
      <w:tr>
        <w:tc>
          <w:tcPr>
            <w:tcW w:type="dxa" w:w="4608"/>
          </w:tcPr>
          <w:p>
            <w:r/>
            <w:r>
              <w:rPr>
                <w:rFonts w:ascii="Calibri" w:hAnsi="Calibri"/>
                <w:b w:val="0"/>
                <w:i w:val="0"/>
                <w:color w:val="2B2B35"/>
                <w:sz w:val="21"/>
              </w:rPr>
              <w:t>Households spend income on goods and services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b w:val="0"/>
                <w:i w:val="0"/>
                <w:color w:val="2B2B35"/>
                <w:sz w:val="21"/>
              </w:rPr>
              <w:t>______</w:t>
            </w:r>
          </w:p>
        </w:tc>
        <w:tc>
          <w:tcPr>
            <w:tcW w:type="dxa" w:w="3168"/>
          </w:tcPr>
          <w:p>
            <w:r/>
            <w:r>
              <w:rPr>
                <w:rFonts w:ascii="Calibri" w:hAnsi="Calibri"/>
                <w:b w:val="0"/>
                <w:i w:val="0"/>
                <w:color w:val="2B2B35"/>
                <w:sz w:val="21"/>
              </w:rPr>
            </w:r>
          </w:p>
        </w:tc>
      </w:tr>
      <w:tr>
        <w:tc>
          <w:tcPr>
            <w:tcW w:type="dxa" w:w="4608"/>
          </w:tcPr>
          <w:p>
            <w:r/>
            <w:r>
              <w:rPr>
                <w:rFonts w:ascii="Calibri" w:hAnsi="Calibri"/>
                <w:b w:val="0"/>
                <w:i w:val="0"/>
                <w:color w:val="2B2B35"/>
                <w:sz w:val="21"/>
              </w:rPr>
              <w:t>Businesses pay wages to households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b w:val="0"/>
                <w:i w:val="0"/>
                <w:color w:val="2B2B35"/>
                <w:sz w:val="21"/>
              </w:rPr>
              <w:t>______</w:t>
            </w:r>
          </w:p>
        </w:tc>
        <w:tc>
          <w:tcPr>
            <w:tcW w:type="dxa" w:w="3168"/>
          </w:tcPr>
          <w:p>
            <w:r/>
            <w:r>
              <w:rPr>
                <w:rFonts w:ascii="Calibri" w:hAnsi="Calibri"/>
                <w:b w:val="0"/>
                <w:i w:val="0"/>
                <w:color w:val="2B2B35"/>
                <w:sz w:val="21"/>
              </w:rPr>
            </w:r>
          </w:p>
        </w:tc>
      </w:tr>
      <w:tr>
        <w:tc>
          <w:tcPr>
            <w:tcW w:type="dxa" w:w="4608"/>
          </w:tcPr>
          <w:p>
            <w:r/>
            <w:r>
              <w:rPr>
                <w:rFonts w:ascii="Calibri" w:hAnsi="Calibri"/>
                <w:b w:val="0"/>
                <w:i w:val="0"/>
                <w:color w:val="2B2B35"/>
                <w:sz w:val="21"/>
              </w:rPr>
              <w:t>Households provide work and skills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b w:val="0"/>
                <w:i w:val="0"/>
                <w:color w:val="2B2B35"/>
                <w:sz w:val="21"/>
              </w:rPr>
              <w:t>______</w:t>
            </w:r>
          </w:p>
        </w:tc>
        <w:tc>
          <w:tcPr>
            <w:tcW w:type="dxa" w:w="3168"/>
          </w:tcPr>
          <w:p>
            <w:r/>
            <w:r>
              <w:rPr>
                <w:rFonts w:ascii="Calibri" w:hAnsi="Calibri"/>
                <w:b w:val="0"/>
                <w:i w:val="0"/>
                <w:color w:val="2B2B35"/>
                <w:sz w:val="21"/>
              </w:rPr>
            </w:r>
          </w:p>
        </w:tc>
      </w:tr>
      <w:tr>
        <w:tc>
          <w:tcPr>
            <w:tcW w:type="dxa" w:w="4608"/>
          </w:tcPr>
          <w:p>
            <w:r/>
            <w:r>
              <w:rPr>
                <w:rFonts w:ascii="Calibri" w:hAnsi="Calibri"/>
                <w:b w:val="0"/>
                <w:i w:val="0"/>
                <w:color w:val="2B2B35"/>
                <w:sz w:val="21"/>
              </w:rPr>
              <w:t>Spending becomes business revenue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b w:val="0"/>
                <w:i w:val="0"/>
                <w:color w:val="2B2B35"/>
                <w:sz w:val="21"/>
              </w:rPr>
              <w:t>______</w:t>
            </w:r>
          </w:p>
        </w:tc>
        <w:tc>
          <w:tcPr>
            <w:tcW w:type="dxa" w:w="3168"/>
          </w:tcPr>
          <w:p>
            <w:r/>
            <w:r>
              <w:rPr>
                <w:rFonts w:ascii="Calibri" w:hAnsi="Calibri"/>
                <w:b w:val="0"/>
                <w:i w:val="0"/>
                <w:color w:val="2B2B35"/>
                <w:sz w:val="21"/>
              </w:rPr>
            </w:r>
          </w:p>
        </w:tc>
      </w:tr>
    </w:tbl>
    <w:p>
      <w:pPr>
        <w:spacing w:after="40"/>
      </w:pPr>
    </w:p>
    <w:p>
      <w:pPr>
        <w:spacing w:before="120" w:after="0"/>
      </w:pPr>
      <w:r>
        <w:rPr>
          <w:rFonts w:ascii="Calibri" w:hAnsi="Calibri"/>
          <w:b/>
          <w:i w:val="0"/>
          <w:color w:val="2B2B35"/>
          <w:sz w:val="22"/>
        </w:rPr>
        <w:t>In your own words, why is it called a 'circular' flow?</w:t>
      </w:r>
    </w:p>
    <w:p>
      <w:pPr>
        <w:spacing w:before="520" w:after="40" w:line="40" w:lineRule="exact"/>
        <w:pBdr>
          <w:bottom w:val="single" w:sz="6" w:space="1" w:color="9CA3AF"/>
        </w:pBdr>
      </w:pPr>
    </w:p>
    <w:p>
      <w:pPr>
        <w:spacing w:before="520" w:after="40" w:line="40" w:lineRule="exact"/>
        <w:pBdr>
          <w:bottom w:val="single" w:sz="6" w:space="1" w:color="9CA3AF"/>
        </w:pBdr>
      </w:pPr>
    </w:p>
    <w:p>
      <w:pPr>
        <w:spacing w:before="240" w:after="80"/>
      </w:pPr>
      <w:r>
        <w:rPr>
          <w:rFonts w:ascii="Calibri" w:hAnsi="Calibri"/>
          <w:b/>
          <w:i w:val="0"/>
          <w:color w:val="1B4332"/>
          <w:sz w:val="28"/>
        </w:rPr>
        <w:t>Part B - Vote With Your Dollars</w:t>
      </w:r>
    </w:p>
    <w:p>
      <w:pPr>
        <w:spacing w:after="120"/>
      </w:pPr>
      <w:r>
        <w:rPr>
          <w:rFonts w:ascii="Calibri" w:hAnsi="Calibri"/>
          <w:b w:val="0"/>
          <w:i w:val="0"/>
          <w:color w:val="2B2B35"/>
          <w:sz w:val="22"/>
        </w:rPr>
        <w:t>A new smoothie shop and a new phone-repair kiosk both open at your mall. Over a month, students spend far more at the smoothie shop.</w:t>
      </w:r>
    </w:p>
    <w:p>
      <w:pPr>
        <w:pStyle w:val="ListNumber"/>
        <w:spacing w:after="80"/>
      </w:pPr>
      <w:r>
        <w:rPr>
          <w:rFonts w:ascii="Calibri" w:hAnsi="Calibri"/>
          <w:b w:val="0"/>
          <w:i w:val="0"/>
          <w:color w:val="2B2B35"/>
          <w:sz w:val="22"/>
        </w:rPr>
        <w:t>What message does that spending send to the two businesses?</w:t>
      </w:r>
    </w:p>
    <w:p>
      <w:pPr>
        <w:pStyle w:val="ListNumber"/>
        <w:spacing w:after="80"/>
      </w:pPr>
      <w:r>
        <w:rPr>
          <w:rFonts w:ascii="Calibri" w:hAnsi="Calibri"/>
          <w:b w:val="0"/>
          <w:i w:val="0"/>
          <w:color w:val="2B2B35"/>
          <w:sz w:val="22"/>
        </w:rPr>
        <w:t>What might the phone-repair owner do in response? Why?</w:t>
      </w:r>
    </w:p>
    <w:p>
      <w:pPr>
        <w:pStyle w:val="ListNumber"/>
        <w:spacing w:after="80"/>
      </w:pPr>
      <w:r>
        <w:rPr>
          <w:rFonts w:ascii="Calibri" w:hAnsi="Calibri"/>
          <w:b w:val="0"/>
          <w:i w:val="0"/>
          <w:color w:val="2B2B35"/>
          <w:sz w:val="22"/>
        </w:rPr>
        <w:t>How could this change who gets hired at the mall?</w:t>
      </w:r>
    </w:p>
    <w:p>
      <w:pPr>
        <w:spacing w:before="120" w:after="0"/>
      </w:pPr>
      <w:r>
        <w:rPr>
          <w:rFonts w:ascii="Calibri" w:hAnsi="Calibri"/>
          <w:b/>
          <w:i w:val="0"/>
          <w:color w:val="2B2B35"/>
          <w:sz w:val="22"/>
        </w:rPr>
        <w:t>Your answers:</w:t>
      </w:r>
    </w:p>
    <w:p>
      <w:pPr>
        <w:spacing w:before="520" w:after="40" w:line="40" w:lineRule="exact"/>
        <w:pBdr>
          <w:bottom w:val="single" w:sz="6" w:space="1" w:color="9CA3AF"/>
        </w:pBdr>
      </w:pPr>
    </w:p>
    <w:p>
      <w:pPr>
        <w:spacing w:before="520" w:after="40" w:line="40" w:lineRule="exact"/>
        <w:pBdr>
          <w:bottom w:val="single" w:sz="6" w:space="1" w:color="9CA3AF"/>
        </w:pBdr>
      </w:pPr>
    </w:p>
    <w:p>
      <w:pPr>
        <w:spacing w:before="520" w:after="40" w:line="40" w:lineRule="exact"/>
        <w:pBdr>
          <w:bottom w:val="single" w:sz="6" w:space="1" w:color="9CA3AF"/>
        </w:pBdr>
      </w:pPr>
    </w:p>
    <w:p>
      <w:pPr>
        <w:spacing w:before="520" w:after="40" w:line="40" w:lineRule="exact"/>
        <w:pBdr>
          <w:bottom w:val="single" w:sz="6" w:space="1" w:color="9CA3AF"/>
        </w:pBdr>
      </w:pPr>
    </w:p>
    <w:p>
      <w:pPr>
        <w:spacing w:before="240" w:after="80"/>
      </w:pPr>
      <w:r>
        <w:rPr>
          <w:rFonts w:ascii="Calibri" w:hAnsi="Calibri"/>
          <w:b/>
          <w:i w:val="0"/>
          <w:color w:val="1B4332"/>
          <w:sz w:val="28"/>
        </w:rPr>
        <w:t>Part C - Self-Sufficiency &amp; Stability</w:t>
      </w:r>
    </w:p>
    <w:p>
      <w:pPr>
        <w:spacing w:after="120"/>
      </w:pPr>
      <w:r>
        <w:rPr>
          <w:rFonts w:ascii="Calibri" w:hAnsi="Calibri"/>
          <w:b w:val="0"/>
          <w:i w:val="0"/>
          <w:color w:val="2B2B35"/>
          <w:sz w:val="22"/>
        </w:rPr>
        <w:t>Two families both lose income for a month. The Reyes family has three months of savings; the Carter family has none and relies on credit cards.</w:t>
      </w:r>
    </w:p>
    <w:p>
      <w:pPr>
        <w:spacing w:after="120"/>
      </w:pPr>
      <w:r>
        <w:rPr>
          <w:rFonts w:ascii="Calibri" w:hAnsi="Calibri"/>
          <w:b w:val="0"/>
          <w:i w:val="0"/>
          <w:color w:val="2B2B35"/>
          <w:sz w:val="22"/>
        </w:rPr>
        <w:t>The family more likely to keep spending steady is the</w:t>
      </w:r>
      <w:r>
        <w:rPr>
          <w:rFonts w:ascii="Calibri" w:hAnsi="Calibri"/>
          <w:b w:val="0"/>
          <w:i w:val="0"/>
          <w:color w:val="9CA3AF"/>
          <w:sz w:val="22"/>
        </w:rPr>
        <w:t xml:space="preserve"> ________________________ </w:t>
      </w:r>
      <w:r>
        <w:rPr>
          <w:rFonts w:ascii="Calibri" w:hAnsi="Calibri"/>
          <w:b w:val="0"/>
          <w:i w:val="0"/>
          <w:color w:val="2B2B35"/>
          <w:sz w:val="22"/>
        </w:rPr>
        <w:t>family.</w:t>
      </w:r>
    </w:p>
    <w:p>
      <w:pPr>
        <w:spacing w:before="120" w:after="0"/>
      </w:pPr>
      <w:r>
        <w:rPr>
          <w:rFonts w:ascii="Calibri" w:hAnsi="Calibri"/>
          <w:b/>
          <w:i w:val="0"/>
          <w:color w:val="2B2B35"/>
          <w:sz w:val="22"/>
        </w:rPr>
        <w:t>Explain how each family's situation affects the local stores around them:</w:t>
      </w:r>
    </w:p>
    <w:p>
      <w:pPr>
        <w:spacing w:before="520" w:after="40" w:line="40" w:lineRule="exact"/>
        <w:pBdr>
          <w:bottom w:val="single" w:sz="6" w:space="1" w:color="9CA3AF"/>
        </w:pBdr>
      </w:pPr>
    </w:p>
    <w:p>
      <w:pPr>
        <w:spacing w:before="520" w:after="40" w:line="40" w:lineRule="exact"/>
        <w:pBdr>
          <w:bottom w:val="single" w:sz="6" w:space="1" w:color="9CA3AF"/>
        </w:pBdr>
      </w:pPr>
    </w:p>
    <w:p>
      <w:pPr>
        <w:spacing w:before="520" w:after="40" w:line="40" w:lineRule="exact"/>
        <w:pBdr>
          <w:bottom w:val="single" w:sz="6" w:space="1" w:color="9CA3AF"/>
        </w:pBdr>
      </w:pPr>
    </w:p>
    <w:sectPr w:rsidR="00FC693F" w:rsidRPr="0006063C" w:rsidSect="00034616">
      <w:footerReference w:type="default" r:id="rId9"/>
      <w:pgSz w:w="12240" w:h="15840"/>
      <w:pgMar w:top="720" w:right="1080" w:bottom="864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left"/>
    </w:pPr>
    <w:r/>
    <w:r>
      <w:rPr>
        <w:i/>
        <w:color w:val="6B7280"/>
        <w:sz w:val="16"/>
      </w:rPr>
      <w:t>© 2026 · Single-classroom license. Do not redistribute.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2B2B35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